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5D7A958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031988">
        <w:rPr>
          <w:rFonts w:asciiTheme="minorHAnsi" w:eastAsia="Calibri" w:hAnsiTheme="minorHAnsi" w:cstheme="minorHAnsi"/>
          <w:b/>
          <w:sz w:val="28"/>
          <w:szCs w:val="28"/>
          <w:lang w:eastAsia="en-US"/>
        </w:rPr>
        <w:t>2</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w:t>
      </w:r>
      <w:proofErr w:type="gramStart"/>
      <w:r w:rsidRPr="008519FE">
        <w:rPr>
          <w:rFonts w:asciiTheme="minorHAnsi" w:hAnsiTheme="minorHAnsi" w:cstheme="minorHAnsi"/>
          <w:b/>
          <w:sz w:val="28"/>
          <w:szCs w:val="28"/>
        </w:rPr>
        <w:t>tvoří</w:t>
      </w:r>
      <w:proofErr w:type="gramEnd"/>
      <w:r w:rsidRPr="008519FE">
        <w:rPr>
          <w:rFonts w:asciiTheme="minorHAnsi" w:hAnsiTheme="minorHAnsi" w:cstheme="minorHAnsi"/>
          <w:b/>
          <w:sz w:val="28"/>
          <w:szCs w:val="28"/>
        </w:rPr>
        <w:t xml:space="preserve">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4A4DC25E"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3339A7">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0B1B71DC"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031988">
        <w:rPr>
          <w:rFonts w:asciiTheme="minorHAnsi" w:hAnsiTheme="minorHAnsi" w:cstheme="minorHAnsi"/>
          <w:b/>
          <w:sz w:val="24"/>
        </w:rPr>
        <w:t>2</w:t>
      </w:r>
      <w:r w:rsidRPr="008519FE">
        <w:rPr>
          <w:rFonts w:asciiTheme="minorHAnsi" w:hAnsiTheme="minorHAnsi" w:cstheme="minorHAnsi"/>
          <w:b/>
          <w:sz w:val="24"/>
        </w:rPr>
        <w:t xml:space="preserve"> veřejné zakázky: </w:t>
      </w:r>
    </w:p>
    <w:bookmarkEnd w:id="3"/>
    <w:p w14:paraId="6E824640" w14:textId="42F149C9" w:rsidR="00262172" w:rsidRPr="008519FE" w:rsidRDefault="00031988"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Vzduchový systém ohřevu pacienta</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3FAC6369"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86C84">
        <w:rPr>
          <w:rFonts w:asciiTheme="minorHAnsi" w:hAnsiTheme="minorHAnsi" w:cstheme="minorHAnsi"/>
          <w:sz w:val="22"/>
          <w:szCs w:val="22"/>
        </w:rPr>
        <w:t xml:space="preserve">, </w:t>
      </w:r>
      <w:r w:rsidR="00C86C84" w:rsidRPr="00C86C84">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5B16ECDB" w:rsidR="00262172" w:rsidRPr="008519FE" w:rsidRDefault="00C71199" w:rsidP="00521E22">
            <w:pPr>
              <w:autoSpaceDE w:val="0"/>
              <w:autoSpaceDN w:val="0"/>
              <w:adjustRightInd w:val="0"/>
              <w:rPr>
                <w:rFonts w:asciiTheme="minorHAnsi" w:hAnsiTheme="minorHAnsi" w:cstheme="minorHAnsi"/>
                <w:b/>
                <w:bCs/>
                <w:sz w:val="28"/>
                <w:szCs w:val="28"/>
              </w:rPr>
            </w:pPr>
            <w:r w:rsidRPr="00C71199">
              <w:rPr>
                <w:rFonts w:asciiTheme="minorHAnsi" w:hAnsiTheme="minorHAnsi"/>
                <w:b/>
                <w:bCs/>
                <w:sz w:val="28"/>
                <w:szCs w:val="28"/>
              </w:rPr>
              <w:t>Vzduchový systém ohřevu pacienta</w:t>
            </w:r>
            <w:r>
              <w:rPr>
                <w:rFonts w:asciiTheme="minorHAnsi" w:hAnsiTheme="minorHAnsi"/>
                <w:b/>
                <w:bCs/>
                <w:sz w:val="28"/>
                <w:szCs w:val="28"/>
              </w:rPr>
              <w:t xml:space="preserve"> </w:t>
            </w:r>
            <w:r w:rsidR="00622525" w:rsidRPr="008519FE">
              <w:rPr>
                <w:rFonts w:asciiTheme="minorHAnsi" w:hAnsiTheme="minorHAnsi" w:cstheme="minorHAnsi"/>
                <w:b/>
                <w:sz w:val="28"/>
                <w:szCs w:val="28"/>
              </w:rPr>
              <w:t xml:space="preserve">- </w:t>
            </w:r>
            <w:r w:rsidR="000A416F">
              <w:rPr>
                <w:rFonts w:asciiTheme="minorHAnsi" w:hAnsiTheme="minorHAnsi" w:cstheme="minorHAnsi"/>
                <w:b/>
                <w:sz w:val="28"/>
                <w:szCs w:val="28"/>
              </w:rPr>
              <w:t>4</w:t>
            </w:r>
            <w:r w:rsidR="00262172" w:rsidRPr="008519FE">
              <w:rPr>
                <w:rFonts w:asciiTheme="minorHAnsi" w:hAnsiTheme="minorHAnsi" w:cstheme="minorHAnsi"/>
                <w:b/>
                <w:sz w:val="28"/>
                <w:szCs w:val="28"/>
              </w:rPr>
              <w:t xml:space="preserve">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031988" w:rsidRPr="008519FE" w14:paraId="63F031C4" w14:textId="77777777" w:rsidTr="00EE4986">
        <w:tc>
          <w:tcPr>
            <w:tcW w:w="4536" w:type="dxa"/>
          </w:tcPr>
          <w:p w14:paraId="42FAD3D5" w14:textId="56E9C269" w:rsidR="00031988" w:rsidRPr="008519FE" w:rsidRDefault="00031988" w:rsidP="00031988">
            <w:pPr>
              <w:rPr>
                <w:rFonts w:asciiTheme="minorHAnsi" w:hAnsiTheme="minorHAnsi" w:cstheme="minorHAnsi"/>
                <w:color w:val="000000"/>
                <w:sz w:val="22"/>
                <w:szCs w:val="22"/>
              </w:rPr>
            </w:pPr>
            <w:r>
              <w:rPr>
                <w:rFonts w:ascii="Calibri" w:hAnsi="Calibri" w:cs="Calibri"/>
                <w:color w:val="000000"/>
                <w:sz w:val="22"/>
                <w:szCs w:val="22"/>
              </w:rPr>
              <w:t xml:space="preserve">Termoregulační systém s nuceným oběhem vzduchu </w:t>
            </w:r>
            <w:r w:rsidRPr="00002148">
              <w:rPr>
                <w:rFonts w:ascii="Tahoma" w:hAnsi="Tahoma" w:cs="Tahoma"/>
              </w:rPr>
              <w:t>skládající se ze řídící jednotky a přikrývky</w:t>
            </w:r>
          </w:p>
        </w:tc>
        <w:tc>
          <w:tcPr>
            <w:tcW w:w="1276" w:type="dxa"/>
            <w:vAlign w:val="center"/>
          </w:tcPr>
          <w:p w14:paraId="2B9D7270" w14:textId="45A6637D"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0C2B651C"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r>
      <w:tr w:rsidR="00031988" w:rsidRPr="008519FE" w14:paraId="16F26689" w14:textId="77777777" w:rsidTr="00EE4986">
        <w:tc>
          <w:tcPr>
            <w:tcW w:w="4536" w:type="dxa"/>
          </w:tcPr>
          <w:p w14:paraId="77D2AC39" w14:textId="77777777" w:rsidR="00031988" w:rsidRPr="0063196F" w:rsidRDefault="00031988" w:rsidP="00031988">
            <w:pPr>
              <w:rPr>
                <w:rFonts w:ascii="Calibri" w:hAnsi="Calibri" w:cs="Calibri"/>
                <w:color w:val="000000"/>
                <w:sz w:val="22"/>
                <w:szCs w:val="22"/>
              </w:rPr>
            </w:pPr>
            <w:r>
              <w:rPr>
                <w:rFonts w:ascii="Calibri" w:hAnsi="Calibri" w:cs="Calibri"/>
                <w:color w:val="000000"/>
                <w:sz w:val="22"/>
                <w:szCs w:val="22"/>
              </w:rPr>
              <w:t>Přehledný ovládací panel</w:t>
            </w:r>
          </w:p>
          <w:p w14:paraId="10B21987" w14:textId="40E6BD7B" w:rsidR="00031988" w:rsidRPr="008519FE" w:rsidRDefault="00031988" w:rsidP="00031988">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vAlign w:val="center"/>
          </w:tcPr>
          <w:p w14:paraId="1B8A040C" w14:textId="167683E0"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371D3446"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r>
      <w:tr w:rsidR="00031988" w:rsidRPr="008519FE" w14:paraId="2CD97122" w14:textId="77777777" w:rsidTr="003A7290">
        <w:tc>
          <w:tcPr>
            <w:tcW w:w="4536" w:type="dxa"/>
          </w:tcPr>
          <w:p w14:paraId="0AA279AF" w14:textId="77777777" w:rsidR="00031988" w:rsidRPr="003616C3" w:rsidRDefault="00031988" w:rsidP="00031988">
            <w:pPr>
              <w:rPr>
                <w:rFonts w:ascii="Calibri" w:hAnsi="Calibri" w:cs="Calibri"/>
                <w:color w:val="000000"/>
                <w:sz w:val="22"/>
                <w:szCs w:val="22"/>
              </w:rPr>
            </w:pPr>
            <w:r w:rsidRPr="003616C3">
              <w:rPr>
                <w:rFonts w:ascii="Calibri" w:hAnsi="Calibri" w:cs="Calibri"/>
                <w:color w:val="000000"/>
                <w:sz w:val="22"/>
                <w:szCs w:val="22"/>
              </w:rPr>
              <w:t>Minimálně 3 nastavění teploty</w:t>
            </w:r>
          </w:p>
          <w:p w14:paraId="6C54669D" w14:textId="766B3A24" w:rsidR="00031988" w:rsidRPr="008519FE" w:rsidRDefault="00031988" w:rsidP="00031988">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7CF194DC" w14:textId="50FC78C7"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c>
          <w:tcPr>
            <w:tcW w:w="3821" w:type="dxa"/>
          </w:tcPr>
          <w:p w14:paraId="5AE8B7A1" w14:textId="515CE47D"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r>
      <w:tr w:rsidR="00031988" w:rsidRPr="008519FE" w14:paraId="7D62C79C" w14:textId="77777777" w:rsidTr="00EE4986">
        <w:tc>
          <w:tcPr>
            <w:tcW w:w="4536" w:type="dxa"/>
          </w:tcPr>
          <w:p w14:paraId="73B67709" w14:textId="77777777" w:rsidR="00031988" w:rsidRPr="003616C3" w:rsidRDefault="00031988" w:rsidP="00031988">
            <w:pPr>
              <w:rPr>
                <w:rFonts w:ascii="Calibri" w:hAnsi="Calibri" w:cs="Calibri"/>
                <w:color w:val="000000"/>
                <w:sz w:val="22"/>
                <w:szCs w:val="22"/>
              </w:rPr>
            </w:pPr>
            <w:r w:rsidRPr="003616C3">
              <w:rPr>
                <w:rFonts w:ascii="Calibri" w:hAnsi="Calibri" w:cs="Calibri"/>
                <w:color w:val="000000"/>
                <w:sz w:val="22"/>
                <w:szCs w:val="22"/>
              </w:rPr>
              <w:t>Rovnoměrné proudění vzduchu</w:t>
            </w:r>
          </w:p>
          <w:p w14:paraId="2CD5F06E" w14:textId="3D06A740" w:rsidR="00031988" w:rsidRPr="008519FE" w:rsidRDefault="00031988" w:rsidP="00031988">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66D5584B"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6F1620C1" w:rsidR="00031988" w:rsidRPr="008519FE" w:rsidRDefault="00031988" w:rsidP="00031988">
            <w:pPr>
              <w:jc w:val="center"/>
              <w:rPr>
                <w:rFonts w:asciiTheme="minorHAnsi" w:hAnsiTheme="minorHAnsi" w:cstheme="minorHAnsi"/>
              </w:rPr>
            </w:pPr>
            <w:r>
              <w:rPr>
                <w:rFonts w:ascii="Calibri" w:hAnsi="Calibri" w:cs="Calibri"/>
                <w:color w:val="FF0000"/>
                <w:szCs w:val="20"/>
              </w:rPr>
              <w:t>(doplní dodavatel)</w:t>
            </w:r>
          </w:p>
        </w:tc>
      </w:tr>
      <w:tr w:rsidR="00031988" w:rsidRPr="008519FE" w14:paraId="40FEF345" w14:textId="77777777" w:rsidTr="008B1D68">
        <w:tc>
          <w:tcPr>
            <w:tcW w:w="4536" w:type="dxa"/>
          </w:tcPr>
          <w:p w14:paraId="1199E408" w14:textId="3EF383B3" w:rsidR="00031988" w:rsidRPr="008519FE" w:rsidRDefault="00031988" w:rsidP="00031988">
            <w:pPr>
              <w:rPr>
                <w:rFonts w:asciiTheme="minorHAnsi" w:hAnsiTheme="minorHAnsi" w:cstheme="minorHAnsi"/>
                <w:color w:val="000000"/>
                <w:sz w:val="22"/>
                <w:szCs w:val="22"/>
              </w:rPr>
            </w:pPr>
            <w:r w:rsidRPr="003616C3">
              <w:rPr>
                <w:rFonts w:ascii="Calibri" w:hAnsi="Calibri" w:cs="Calibri"/>
                <w:color w:val="000000"/>
                <w:sz w:val="22"/>
                <w:szCs w:val="22"/>
              </w:rPr>
              <w:t>Varování o vypršení platnosti filtru na obrazovce</w:t>
            </w:r>
          </w:p>
        </w:tc>
        <w:tc>
          <w:tcPr>
            <w:tcW w:w="1276" w:type="dxa"/>
          </w:tcPr>
          <w:p w14:paraId="57CDD20F" w14:textId="4D72F40B"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52FDB464"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r>
      <w:tr w:rsidR="00031988" w:rsidRPr="008519FE" w14:paraId="09687251" w14:textId="77777777" w:rsidTr="008B1D68">
        <w:tc>
          <w:tcPr>
            <w:tcW w:w="4536" w:type="dxa"/>
          </w:tcPr>
          <w:p w14:paraId="19B304C4" w14:textId="5B603A64" w:rsidR="00031988" w:rsidRPr="008519FE" w:rsidRDefault="00031988" w:rsidP="00031988">
            <w:pPr>
              <w:rPr>
                <w:rFonts w:asciiTheme="minorHAnsi" w:hAnsiTheme="minorHAnsi" w:cstheme="minorHAnsi"/>
                <w:color w:val="000000"/>
                <w:sz w:val="22"/>
                <w:szCs w:val="22"/>
              </w:rPr>
            </w:pPr>
            <w:proofErr w:type="spellStart"/>
            <w:r>
              <w:rPr>
                <w:rFonts w:ascii="Calibri" w:hAnsi="Calibri" w:cs="Calibri"/>
                <w:color w:val="000000"/>
                <w:sz w:val="22"/>
                <w:szCs w:val="22"/>
              </w:rPr>
              <w:t>Autodiagnostický</w:t>
            </w:r>
            <w:proofErr w:type="spellEnd"/>
            <w:r>
              <w:rPr>
                <w:rFonts w:ascii="Calibri" w:hAnsi="Calibri" w:cs="Calibri"/>
                <w:color w:val="000000"/>
                <w:sz w:val="22"/>
                <w:szCs w:val="22"/>
              </w:rPr>
              <w:t xml:space="preserve"> test funkcí </w:t>
            </w:r>
          </w:p>
        </w:tc>
        <w:tc>
          <w:tcPr>
            <w:tcW w:w="1276" w:type="dxa"/>
          </w:tcPr>
          <w:p w14:paraId="03CA9691" w14:textId="2908209E"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77BFBF5A"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r>
      <w:tr w:rsidR="00031988" w:rsidRPr="008519FE" w14:paraId="05E620E6" w14:textId="77777777" w:rsidTr="008B1D68">
        <w:tc>
          <w:tcPr>
            <w:tcW w:w="4536" w:type="dxa"/>
          </w:tcPr>
          <w:p w14:paraId="74FAB803" w14:textId="77777777" w:rsidR="00031988" w:rsidRDefault="00031988" w:rsidP="00031988">
            <w:pPr>
              <w:rPr>
                <w:rFonts w:ascii="Calibri" w:hAnsi="Calibri" w:cs="Calibri"/>
                <w:color w:val="000000"/>
                <w:sz w:val="22"/>
                <w:szCs w:val="22"/>
              </w:rPr>
            </w:pPr>
            <w:r>
              <w:rPr>
                <w:rFonts w:ascii="Calibri" w:hAnsi="Calibri" w:cs="Calibri"/>
                <w:color w:val="000000"/>
                <w:sz w:val="22"/>
                <w:szCs w:val="22"/>
              </w:rPr>
              <w:t xml:space="preserve">Signalizace zvýšení teploty </w:t>
            </w:r>
          </w:p>
          <w:p w14:paraId="03F8BC6E" w14:textId="121CC693" w:rsidR="00031988" w:rsidRPr="008519FE" w:rsidRDefault="00031988" w:rsidP="00031988">
            <w:pPr>
              <w:pStyle w:val="TxBrp11"/>
              <w:tabs>
                <w:tab w:val="left" w:pos="284"/>
              </w:tabs>
              <w:spacing w:line="277" w:lineRule="exact"/>
              <w:ind w:left="0"/>
              <w:rPr>
                <w:rFonts w:asciiTheme="minorHAnsi" w:hAnsiTheme="minorHAnsi" w:cstheme="minorHAnsi"/>
                <w:color w:val="000000"/>
                <w:sz w:val="22"/>
                <w:szCs w:val="22"/>
                <w:lang w:val="cs-CZ"/>
              </w:rPr>
            </w:pPr>
          </w:p>
        </w:tc>
        <w:tc>
          <w:tcPr>
            <w:tcW w:w="1276" w:type="dxa"/>
          </w:tcPr>
          <w:p w14:paraId="78616781" w14:textId="25BFD073"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5A74A5ED"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r>
      <w:tr w:rsidR="00031988" w:rsidRPr="008519FE" w14:paraId="507A3A1C" w14:textId="77777777" w:rsidTr="008B1D68">
        <w:tc>
          <w:tcPr>
            <w:tcW w:w="4536" w:type="dxa"/>
          </w:tcPr>
          <w:p w14:paraId="69E21C33" w14:textId="68C8F56B" w:rsidR="00031988" w:rsidRPr="008519FE" w:rsidRDefault="00031988" w:rsidP="00031988">
            <w:pPr>
              <w:rPr>
                <w:rFonts w:asciiTheme="minorHAnsi" w:hAnsiTheme="minorHAnsi" w:cstheme="minorHAnsi"/>
                <w:color w:val="000000"/>
                <w:sz w:val="22"/>
                <w:szCs w:val="22"/>
              </w:rPr>
            </w:pPr>
            <w:r>
              <w:rPr>
                <w:rFonts w:ascii="Calibri" w:hAnsi="Calibri" w:cs="Calibri"/>
                <w:color w:val="000000"/>
                <w:sz w:val="22"/>
                <w:szCs w:val="22"/>
              </w:rPr>
              <w:t xml:space="preserve">Rozměr přikrývky min. 180 x 90 cm </w:t>
            </w:r>
          </w:p>
        </w:tc>
        <w:tc>
          <w:tcPr>
            <w:tcW w:w="1276" w:type="dxa"/>
          </w:tcPr>
          <w:p w14:paraId="2260BC93" w14:textId="2CB32517"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50DC68DD" w:rsidR="00031988" w:rsidRPr="008519FE" w:rsidRDefault="00031988" w:rsidP="00031988">
            <w:pPr>
              <w:jc w:val="center"/>
              <w:rPr>
                <w:rFonts w:asciiTheme="minorHAnsi" w:hAnsiTheme="minorHAnsi" w:cstheme="minorHAnsi"/>
                <w:color w:val="FF0000"/>
                <w:szCs w:val="20"/>
              </w:rPr>
            </w:pPr>
            <w:r>
              <w:rPr>
                <w:rFonts w:ascii="Calibri" w:hAnsi="Calibri" w:cs="Calibri"/>
                <w:color w:val="FF0000"/>
                <w:szCs w:val="20"/>
              </w:rPr>
              <w:t>(doplní dodavatel)</w:t>
            </w:r>
          </w:p>
        </w:tc>
      </w:tr>
      <w:tr w:rsidR="00031988" w:rsidRPr="008519FE" w14:paraId="1C5B17D9" w14:textId="77777777" w:rsidTr="008B1D68">
        <w:tc>
          <w:tcPr>
            <w:tcW w:w="4536" w:type="dxa"/>
          </w:tcPr>
          <w:p w14:paraId="771F2C41" w14:textId="1C2DD481" w:rsidR="00031988" w:rsidRDefault="00031988" w:rsidP="00031988">
            <w:pPr>
              <w:rPr>
                <w:rFonts w:ascii="Calibri" w:hAnsi="Calibri" w:cs="Calibri"/>
                <w:color w:val="000000"/>
                <w:sz w:val="22"/>
                <w:szCs w:val="22"/>
              </w:rPr>
            </w:pPr>
            <w:r>
              <w:rPr>
                <w:rFonts w:ascii="Calibri" w:hAnsi="Calibri" w:cs="Calibri"/>
                <w:color w:val="000000"/>
                <w:sz w:val="22"/>
                <w:szCs w:val="22"/>
              </w:rPr>
              <w:lastRenderedPageBreak/>
              <w:t>Součástí dodávky je pojízdní stojan</w:t>
            </w:r>
          </w:p>
        </w:tc>
        <w:tc>
          <w:tcPr>
            <w:tcW w:w="1276" w:type="dxa"/>
          </w:tcPr>
          <w:p w14:paraId="01F1BE9D" w14:textId="5C5A4A03" w:rsidR="00031988" w:rsidRDefault="00031988" w:rsidP="00031988">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322A5066" w14:textId="4C121844" w:rsidR="00031988" w:rsidRDefault="00031988" w:rsidP="00031988">
            <w:pPr>
              <w:jc w:val="center"/>
              <w:rPr>
                <w:rFonts w:ascii="Calibri" w:hAnsi="Calibri" w:cs="Calibri"/>
                <w:color w:val="FF0000"/>
                <w:szCs w:val="20"/>
              </w:rPr>
            </w:pPr>
            <w:r>
              <w:rPr>
                <w:rFonts w:ascii="Calibri" w:hAnsi="Calibri" w:cs="Calibri"/>
                <w:color w:val="FF0000"/>
                <w:szCs w:val="20"/>
              </w:rPr>
              <w:t>(doplní dodavatel)</w:t>
            </w:r>
          </w:p>
        </w:tc>
      </w:tr>
    </w:tbl>
    <w:p w14:paraId="756588E0" w14:textId="5340FE99" w:rsidR="003339A7" w:rsidRDefault="003339A7" w:rsidP="003339A7">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bookmarkStart w:id="7" w:name="_Hlk78359391"/>
      <w:bookmarkStart w:id="8" w:name="_Hlk78359666"/>
      <w:bookmarkStart w:id="9" w:name="_Hlk75513151"/>
    </w:p>
    <w:p w14:paraId="7F740BEB" w14:textId="77777777" w:rsidR="003339A7" w:rsidRDefault="003339A7" w:rsidP="003339A7">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p>
    <w:p w14:paraId="0C04C431" w14:textId="489ACADE"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t xml:space="preserve">Požadavky, které budou součástí dodávky předmětu plnění </w:t>
      </w:r>
    </w:p>
    <w:bookmarkEnd w:id="9"/>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3339A7">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3339A7">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3339A7">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3339A7">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3339A7">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3339A7">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7"/>
      <w:bookmarkEnd w:id="8"/>
      <w:bookmarkEnd w:id="10"/>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50E8"/>
    <w:rsid w:val="00125A4F"/>
    <w:rsid w:val="001E4DD3"/>
    <w:rsid w:val="002416D2"/>
    <w:rsid w:val="00262172"/>
    <w:rsid w:val="002B66CA"/>
    <w:rsid w:val="002E7585"/>
    <w:rsid w:val="00307B5F"/>
    <w:rsid w:val="003339A7"/>
    <w:rsid w:val="00351EC9"/>
    <w:rsid w:val="003D3BD5"/>
    <w:rsid w:val="004634DF"/>
    <w:rsid w:val="00474E72"/>
    <w:rsid w:val="004A0CF2"/>
    <w:rsid w:val="00570FCB"/>
    <w:rsid w:val="005F75BF"/>
    <w:rsid w:val="00606C0C"/>
    <w:rsid w:val="00616E58"/>
    <w:rsid w:val="00622525"/>
    <w:rsid w:val="00697D90"/>
    <w:rsid w:val="006E3D2F"/>
    <w:rsid w:val="00702FC7"/>
    <w:rsid w:val="00705BA4"/>
    <w:rsid w:val="00742588"/>
    <w:rsid w:val="008519FE"/>
    <w:rsid w:val="0088E73C"/>
    <w:rsid w:val="00897E6F"/>
    <w:rsid w:val="008C5369"/>
    <w:rsid w:val="00971C1A"/>
    <w:rsid w:val="009E0F0D"/>
    <w:rsid w:val="009F2239"/>
    <w:rsid w:val="00A8120D"/>
    <w:rsid w:val="00AA59A9"/>
    <w:rsid w:val="00AD3115"/>
    <w:rsid w:val="00B9708D"/>
    <w:rsid w:val="00BB4702"/>
    <w:rsid w:val="00BF4E62"/>
    <w:rsid w:val="00C10C4F"/>
    <w:rsid w:val="00C71199"/>
    <w:rsid w:val="00C86C84"/>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408</Words>
  <Characters>2410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cp:lastPrinted>2021-07-19T05:54:00Z</cp:lastPrinted>
  <dcterms:created xsi:type="dcterms:W3CDTF">2021-07-28T07:41:00Z</dcterms:created>
  <dcterms:modified xsi:type="dcterms:W3CDTF">2022-07-18T20:19:00Z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